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Caption w:val="Couverture"/>
        <w:tblDescription w:val="Titre, objet et public du modèle documentaire."/>
      </w:tblPr>
      <w:tblGrid>
        <w:gridCol w:w="9922"/>
      </w:tblGrid>
      <w:tr>
        <w:tc>
          <w:tcPr>
            <w:tcW w:type="dxa" w:w="9922"/>
            <w:shd w:fill="17304F" w:val="clear"/>
            <w:tcBorders>
              <w:top w:val="single" w:sz="0" w:space="0" w:color="17304F"/>
              <w:bottom w:val="single" w:sz="0" w:space="0" w:color="17304F"/>
              <w:start w:val="single" w:sz="0" w:space="0" w:color="17304F"/>
              <w:end w:val="single" w:sz="0" w:space="0" w:color="17304F"/>
            </w:tcBorders>
            <w:tcMar>
              <w:top w:w="440" w:type="dxa"/>
              <w:start w:w="260" w:type="dxa"/>
              <w:bottom w:w="440" w:type="dxa"/>
              <w:end w:w="260" w:type="dxa"/>
            </w:tcMar>
          </w:tcPr>
          <w:p>
            <w:r>
              <w:rPr>
                <w:rFonts w:ascii="Arial" w:hAnsi="Arial" w:eastAsia="Arial" w:cs="Arial"/>
                <w:b/>
                <w:color w:val="B9D8D4"/>
                <w:sz w:val="17"/>
                <w:lang w:val="fr-FR" w:eastAsia="fr-FR" w:bidi="fr-FR"/>
              </w:rPr>
              <w:t>MODÈLE ÉDITABLE</w:t>
            </w:r>
          </w:p>
          <w:p>
            <w:pPr>
              <w:pStyle w:val="Title"/>
            </w:pPr>
            <w:r>
              <w:rPr>
                <w:rFonts w:ascii="Arial" w:hAnsi="Arial" w:eastAsia="Arial" w:cs="Arial"/>
                <w:b/>
                <w:color w:val="FFFFFF"/>
                <w:sz w:val="56"/>
                <w:lang w:val="fr-FR" w:eastAsia="fr-FR" w:bidi="fr-FR"/>
              </w:rPr>
              <w:t>Règlement intérieur d’un organisme de formation</w:t>
            </w:r>
          </w:p>
          <w:p>
            <w:pPr>
              <w:spacing w:before="140" w:after="140"/>
            </w:pPr>
            <w:r>
              <w:rPr>
                <w:rFonts w:ascii="Arial" w:hAnsi="Arial" w:eastAsia="Arial" w:cs="Arial"/>
                <w:color w:val="E8EFF5"/>
                <w:sz w:val="23"/>
                <w:lang w:val="fr-FR" w:eastAsia="fr-FR" w:bidi="fr-FR"/>
              </w:rPr>
              <w:t>Établir les règles applicables aux stagiaires et apprentis en matière de santé, sécurité, discipline et représentation.</w:t>
            </w:r>
          </w:p>
          <w:p>
            <w:r>
              <w:rPr>
                <w:rFonts w:ascii="Arial" w:hAnsi="Arial" w:eastAsia="Arial" w:cs="Arial"/>
                <w:color w:val="B9D8D4"/>
                <w:sz w:val="18"/>
                <w:lang w:val="fr-FR" w:eastAsia="fr-FR" w:bidi="fr-FR"/>
              </w:rPr>
              <w:t>Pour : organismes de formation et centres de formation d’apprentis</w:t>
            </w:r>
          </w:p>
        </w:tc>
      </w:tr>
    </w:tbl>
    <w:p/>
    <w:tbl>
      <w:tblPr>
        <w:tblStyle w:val="TableGrid"/>
        <w:tblW w:type="auto" w:w="0"/>
        <w:jc w:val="center"/>
        <w:tblLook w:firstColumn="1" w:firstRow="1" w:lastColumn="0" w:lastRow="0" w:noHBand="0" w:noVBand="1" w:val="04A0"/>
        <w:tblCaption w:val="Version du document"/>
        <w:tblDescription w:val="Version, date de revue et prochaine revue planifiée."/>
      </w:tblPr>
      <w:tblGrid>
        <w:gridCol w:w="3307"/>
        <w:gridCol w:w="3307"/>
        <w:gridCol w:w="3307"/>
      </w:tblGrid>
      <w:tr>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VERSION</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REVUE</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PROCHAINE REVUE</w:t>
            </w:r>
          </w:p>
        </w:tc>
      </w:tr>
      <w:tr>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2.0.0</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16/07/2026</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16/10/2026</w:t>
            </w:r>
          </w:p>
        </w:tc>
      </w:tr>
    </w:tbl>
    <w:tbl>
      <w:tblPr>
        <w:tblW w:type="auto" w:w="0"/>
        <w:jc w:val="center"/>
        <w:tblLook w:firstColumn="1" w:firstRow="1" w:lastColumn="0" w:lastRow="0" w:noHBand="0" w:noVBand="1" w:val="04A0"/>
        <w:tblCaption w:val="Notice — Avant usage"/>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Avant usage</w:t>
            </w:r>
          </w:p>
          <w:p>
            <w:pPr>
              <w:spacing w:after="0"/>
            </w:pPr>
            <w:r>
              <w:rPr>
                <w:rFonts w:ascii="Arial" w:hAnsi="Arial" w:eastAsia="Arial" w:cs="Arial"/>
                <w:color w:val="26313B"/>
                <w:sz w:val="17"/>
                <w:lang w:val="fr-FR" w:eastAsia="fr-FR" w:bidi="fr-FR"/>
              </w:rPr>
              <w:t>Ce modèle doit être personnalisé, relu et validé au regard de la prestation, du financeur, du public, des locaux et des pratiques réelles de l’organisme. Il ne constitue ni un conseil juridique individualisé ni une preuve autonome de conformité.</w:t>
            </w:r>
          </w:p>
        </w:tc>
      </w:tr>
    </w:tbl>
    <w:p>
      <w:pPr>
        <w:spacing w:after="0"/>
      </w:pPr>
    </w:p>
    <w:p>
      <w:pPr>
        <w:jc w:val="center"/>
      </w:pPr>
      <w:r>
        <w:rPr>
          <w:rFonts w:ascii="Arial" w:hAnsi="Arial" w:eastAsia="Arial" w:cs="Arial"/>
          <w:i/>
          <w:color w:val="66717D"/>
          <w:sz w:val="16"/>
          <w:lang w:val="fr-FR" w:eastAsia="fr-FR" w:bidi="fr-FR"/>
        </w:rPr>
        <w:t>Document de travail — supprimer les notices et champs inutiles avant diffusion ou signature.</w:t>
      </w:r>
    </w:p>
    <w:p>
      <w:r>
        <w:br w:type="page"/>
      </w:r>
    </w:p>
    <w:p>
      <w:pPr>
        <w:spacing w:before="240" w:after="100"/>
        <w:keepNext/>
      </w:pPr>
      <w:r>
        <w:rPr>
          <w:rFonts w:ascii="Arial" w:hAnsi="Arial" w:eastAsia="Arial" w:cs="Arial"/>
          <w:b/>
          <w:color w:val="17304F"/>
          <w:sz w:val="34"/>
          <w:lang w:val="fr-FR" w:eastAsia="fr-FR" w:bidi="fr-FR"/>
        </w:rPr>
        <w:t>Sommaire</w:t>
      </w:r>
    </w:p>
    <w:p>
      <w:pPr>
        <w:spacing w:after="0" w:line="252" w:lineRule="auto"/>
      </w:pPr>
      <w:r>
        <w:rPr>
          <w:rFonts w:ascii="Arial" w:hAnsi="Arial" w:eastAsia="Arial" w:cs="Arial"/>
          <w:i/>
          <w:color w:val="66717D"/>
          <w:sz w:val="17"/>
          <w:lang w:val="fr-FR" w:eastAsia="fr-FR" w:bidi="fr-FR"/>
        </w:rPr>
        <w:fldChar w:fldCharType="begin"/>
        <w:instrText xml:space="preserve"> TOC \o "1-3" \h \z \u </w:instrText>
        <w:fldChar w:fldCharType="separate"/>
        <w:t xml:space="preserve">Sommaire indicatif — dans Word, actualisez ce champ pour recalculer les titres et les pages.</w:t>
        <w:br/>
        <w:t xml:space="preserve">01 · Paramétrage avant adoption</w:t>
        <w:br/>
        <w:t xml:space="preserve">02 · Articles 1 à 5 — champ, sécurité, urgence et évacuation</w:t>
        <w:br/>
        <w:t xml:space="preserve">03 · Articles 6 à 10 — accès, comportement, outils et assiduité</w:t>
        <w:br/>
        <w:t xml:space="preserve">04 · Articles 11 à 14 — participation, confidentialité, accessibilité et sanctions</w:t>
        <w:br/>
        <w:t xml:space="preserve">05 · Articles 15 à 19 — procédure disciplinaire et représentation</w:t>
        <w:br/>
        <w:t xml:space="preserve">06 · Articles 20 à 22 — blocs conditionnels, communication et révision</w:t>
        <w:br/>
        <w:t xml:space="preserve">07 · Annexes — lieu d’accueil et formation à distance</w:t>
        <w:br/>
        <w:t xml:space="preserve">08 · Validation interne, sources et gouvernance</w:t>
        <w:fldChar w:fldCharType="end"/>
      </w:r>
    </w:p>
    <w:p>
      <w:r>
        <w:br w:type="page"/>
      </w:r>
    </w:p>
    <w:p>
      <w:pPr>
        <w:pStyle w:val="Heading1"/>
        <w:keepNext/>
      </w:pPr>
      <w:r>
        <w:t>Paramétrage avant adoption</w:t>
      </w:r>
    </w:p>
    <w:tbl>
      <w:tblPr>
        <w:tblW w:type="auto" w:w="0"/>
        <w:jc w:val="center"/>
        <w:tblLook w:firstColumn="1" w:firstRow="1" w:lastColumn="0" w:lastRow="0" w:noHBand="0" w:noVBand="1" w:val="04A0"/>
        <w:tblCaption w:val="Notice — Délai"/>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Délai</w:t>
            </w:r>
          </w:p>
          <w:p>
            <w:pPr>
              <w:spacing w:after="0"/>
            </w:pPr>
            <w:r>
              <w:rPr>
                <w:rFonts w:ascii="Arial" w:hAnsi="Arial" w:eastAsia="Arial" w:cs="Arial"/>
                <w:color w:val="26313B"/>
                <w:sz w:val="17"/>
                <w:lang w:val="fr-FR" w:eastAsia="fr-FR" w:bidi="fr-FR"/>
              </w:rPr>
              <w:t>Le règlement intérieur est établi dans les trois mois suivant le début de l’activité de l’organisme. Il s’applique aussi lorsque les stagiaires ou apprentis sont accueillis dans des locaux mis à disposition.</w:t>
            </w:r>
          </w:p>
        </w:tc>
      </w:tr>
    </w:tbl>
    <w:p>
      <w:pPr>
        <w:spacing w:after="0"/>
      </w:pPr>
    </w:p>
    <w:tbl>
      <w:tblPr>
        <w:tblW w:type="auto" w:w="0"/>
        <w:jc w:val="center"/>
        <w:tblLook w:firstColumn="1" w:firstRow="1" w:lastColumn="0" w:lastRow="0" w:noHBand="0" w:noVBand="1" w:val="04A0"/>
        <w:tblCaption w:val="Liste de choix"/>
        <w:tblDescription w:val="Choix à cocher ou à marquer après personnalisation."/>
      </w:tblPr>
      <w:tblGrid>
        <w:gridCol w:w="4961"/>
        <w:gridCol w:w="4961"/>
      </w:tblGrid>
      <w:tr>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L’organisme dispose de ses propres locaux.</w:t>
            </w:r>
          </w:p>
        </w:tc>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Des formations se déroulent dans les locaux d’une entreprise ou d’un établissement disposant déjà de règles de santé et de sécurité.</w:t>
            </w:r>
          </w:p>
        </w:tc>
      </w:tr>
      <w:tr>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Des formations se déroulent dans des locaux loués ou mis à disposition.</w:t>
            </w:r>
          </w:p>
        </w:tc>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L’organisme organise des sessions de plus de 500 heures.</w:t>
            </w:r>
          </w:p>
        </w:tc>
      </w:tr>
      <w:tr>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L’organisme accueille des apprentis.</w:t>
            </w:r>
          </w:p>
        </w:tc>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L’organisme sollicite des fonds auprès des financeurs mentionnés à l’article L. 6316-1.</w:t>
            </w:r>
          </w:p>
        </w:tc>
      </w:tr>
      <w:tr>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r>
              <w:rPr>
                <w:rFonts w:ascii="Arial" w:hAnsi="Arial" w:eastAsia="Arial" w:cs="Arial"/>
                <w:color w:val="26313B"/>
                <w:sz w:val="17"/>
                <w:lang w:val="fr-FR" w:eastAsia="fr-FR" w:bidi="fr-FR"/>
              </w:rPr>
              <w:t>☐ Des formations sont réalisées à distance.</w:t>
            </w:r>
          </w:p>
        </w:tc>
        <w:tc>
          <w:tcPr>
            <w:tcW w:type="dxa" w:w="4961"/>
            <w:tcBorders>
              <w:top w:val="nil" w:sz="0" w:space="0" w:color="FFFFFF"/>
              <w:bottom w:val="nil" w:sz="0" w:space="0" w:color="FFFFFF"/>
              <w:start w:val="nil" w:sz="0" w:space="0" w:color="FFFFFF"/>
              <w:end w:val="nil" w:sz="0" w:space="0" w:color="FFFFFF"/>
            </w:tcBorders>
            <w:tcMar>
              <w:top w:w="30" w:type="dxa"/>
              <w:start w:w="30" w:type="dxa"/>
              <w:bottom w:w="30" w:type="dxa"/>
              <w:end w:w="30" w:type="dxa"/>
            </w:tcMar>
          </w:tcPr>
          <w:p/>
        </w:tc>
      </w:tr>
    </w:tbl>
    <w:tbl>
      <w:tblPr>
        <w:tblW w:type="auto" w:w="0"/>
        <w:jc w:val="center"/>
        <w:tblLook w:firstColumn="1" w:firstRow="1" w:lastColumn="0" w:lastRow="0" w:noHBand="0" w:noVBand="1" w:val="04A0"/>
        <w:tblCaption w:val="Notice — Blocs conditionnels"/>
        <w:tblDescription w:val="Information importante pour personnaliser et utiliser le modèle."/>
      </w:tblPr>
      <w:tblGrid>
        <w:gridCol w:w="9922"/>
      </w:tblGrid>
      <w:tr>
        <w:tc>
          <w:tcPr>
            <w:tcW w:type="dxa" w:w="9922"/>
            <w:shd w:fill="FBEDE9" w:val="clear"/>
            <w:tcBorders>
              <w:start w:val="single" w:sz="18" w:space="0" w:color="C4513C"/>
              <w:top w:val="nil" w:sz="0" w:space="0" w:color="FBEDE9"/>
              <w:bottom w:val="nil" w:sz="0" w:space="0" w:color="FBEDE9"/>
              <w:end w:val="nil" w:sz="0" w:space="0" w:color="FBEDE9"/>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Blocs conditionnels</w:t>
            </w:r>
          </w:p>
          <w:p>
            <w:pPr>
              <w:spacing w:after="0"/>
            </w:pPr>
            <w:r>
              <w:rPr>
                <w:rFonts w:ascii="Arial" w:hAnsi="Arial" w:eastAsia="Arial" w:cs="Arial"/>
                <w:color w:val="26313B"/>
                <w:sz w:val="17"/>
                <w:lang w:val="fr-FR" w:eastAsia="fr-FR" w:bidi="fr-FR"/>
              </w:rPr>
              <w:t>Supprimer les blocs qui ne correspondent pas à la situation réelle. Les clauses de représentation s’activent pour les sessions de plus de 500 heures. Le bloc relatif à L. 6352-4 vise les organismes sollicitant les financeurs concernés.</w:t>
            </w:r>
          </w:p>
        </w:tc>
      </w:tr>
    </w:tbl>
    <w:p>
      <w:pPr>
        <w:spacing w:after="0"/>
      </w:pPr>
    </w:p>
    <w:tbl>
      <w:tblPr>
        <w:tblW w:type="dxa" w:w="9922"/>
        <w:jc w:val="center"/>
        <w:tblLayout w:type="fixed"/>
        <w:tblLook w:firstColumn="1" w:firstRow="1" w:lastColumn="0" w:lastRow="0" w:noHBand="0" w:noVBand="1" w:val="04A0"/>
        <w:tblCaption w:val="Identification du règlement"/>
        <w:tblDescription w:val="Identification, contacts et version du règlement intérieur."/>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Organisme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Organisme"/>
                <w:tag w:val="fk-modele-reglement-interieur-of-organisme_nom-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Organisme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Adresse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dresse"/>
                <w:tag w:val="fk-modele-reglement-interieur-of-organisme_adresse-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Adresse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N° de déclaration d’activité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N° de déclaration d’activité"/>
                <w:tag w:val="fk-modele-reglement-interieur-of-organisme_nda-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 de déclaration d’activité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Responsable d’établissement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sponsable d’établissement"/>
                <w:tag w:val="fk-modele-reglement-interieur-of-responsable_etablissement-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Responsable d’établissement</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Contact urgence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tact urgence"/>
                <w:tag w:val="fk-modele-reglement-interieur-of-contact_urgence-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Contact urgence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Contact réclamation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tact réclamation"/>
                <w:tag w:val="fk-modele-reglement-interieur-of-contact_reclamation-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Contact réclamation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 d’entrée en vigueur</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 d’entrée en vigueur"/>
                <w:tag w:val="fk-modele-reglement-interieur-of-date_entree_vigueur-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 d’entrée en vigueur</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Version remplacée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Version remplacée"/>
                <w:tag w:val="fk-modele-reglement-interieur-of-version_remplacee-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Version remplacée</w:t>
                </w:r>
              </w:sdtContent>
            </w:sdt>
          </w:p>
        </w:tc>
      </w:tr>
    </w:tbl>
    <w:p>
      <w:pPr>
        <w:spacing w:after="0"/>
      </w:pPr>
    </w:p>
    <w:p>
      <w:bookmarkStart w:id="201" w:name="ri_article_1"/>
      <w:pPr>
        <w:pStyle w:val="Heading1"/>
        <w:keepNext/>
      </w:pPr>
      <w:r>
        <w:t>Article 1 — Objet et personnes concernées</w:t>
      </w:r>
      <w:bookmarkEnd w:id="201"/>
    </w:p>
    <w:p>
      <w:r>
        <w:rPr>
          <w:rFonts w:ascii="Arial" w:hAnsi="Arial" w:eastAsia="Arial" w:cs="Arial"/>
          <w:i w:val="0"/>
          <w:lang w:val="fr-FR" w:eastAsia="fr-FR" w:bidi="fr-FR"/>
        </w:rPr>
        <w:t>Le présent règlement détermine les principales mesures applicables en matière de santé, de sécurité et de discipline, ainsi que les modalités de représentation lorsqu’elles sont requises. Il s’applique aux stagiaires et apprentis pendant leur présence dans les locaux, sur les lieux de formation et, pour les règles adaptées, dans les espaces numériques utilisés pour la formation.</w:t>
      </w:r>
    </w:p>
    <w:p>
      <w:bookmarkStart w:id="202" w:name="ri_article_2"/>
      <w:pPr>
        <w:pStyle w:val="Heading1"/>
        <w:keepNext/>
      </w:pPr>
      <w:r>
        <w:t>Article 2 — Articulation avec les règles du lieu d’accueil</w:t>
      </w:r>
      <w:bookmarkEnd w:id="202"/>
    </w:p>
    <w:p>
      <w:r>
        <w:rPr>
          <w:rFonts w:ascii="Arial" w:hAnsi="Arial" w:eastAsia="Arial" w:cs="Arial"/>
          <w:i w:val="0"/>
          <w:lang w:val="fr-FR" w:eastAsia="fr-FR" w:bidi="fr-FR"/>
        </w:rPr>
        <w:t>Lorsque la formation se déroule dans une entreprise ou un établissement déjà doté de règles de santé et de sécurité, ces mesures s’appliquent aux stagiaires et apprentis. L’organisme communique les consignes locales utiles et identifie les règles qui complètent le présent règlement.</w:t>
      </w:r>
    </w:p>
    <w:p>
      <w:pPr>
        <w:spacing w:after="40"/>
      </w:pPr>
      <w:r>
        <w:rPr>
          <w:rFonts w:ascii="Arial" w:hAnsi="Arial" w:eastAsia="Arial" w:cs="Arial"/>
          <w:b/>
          <w:color w:val="17304F"/>
          <w:sz w:val="17"/>
          <w:lang w:val="fr-FR" w:eastAsia="fr-FR" w:bidi="fr-FR"/>
        </w:rPr>
        <w:t>Règles locales et document de référence</w:t>
      </w:r>
    </w:p>
    <w:tbl>
      <w:tblPr>
        <w:tblW w:type="auto" w:w="0"/>
        <w:jc w:val="center"/>
        <w:tblLayout w:type="autofit"/>
        <w:tblLook w:firstColumn="1" w:firstRow="1" w:lastColumn="0" w:lastRow="0" w:noHBand="0" w:noVBand="1" w:val="04A0"/>
        <w:tblCaption w:val="Règles locales et document de référence"/>
        <w:tblDescription w:val="Zone éditable : Règles locales et document de référenc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locales et document de référence"/>
                <w:tag w:val="fk-modele-reglement-interieur-of-regles_lieu_accueil-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locales et document de référence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bookmarkStart w:id="203" w:name="ri_article_3"/>
      <w:pPr>
        <w:pStyle w:val="Heading1"/>
        <w:keepNext/>
      </w:pPr>
      <w:r>
        <w:t>Article 3 — Consignes générales de santé et de sécurité</w:t>
      </w:r>
      <w:bookmarkEnd w:id="203"/>
    </w:p>
    <w:p>
      <w:r>
        <w:rPr>
          <w:rFonts w:ascii="Arial" w:hAnsi="Arial" w:eastAsia="Arial" w:cs="Arial"/>
          <w:i w:val="0"/>
          <w:lang w:val="fr-FR" w:eastAsia="fr-FR" w:bidi="fr-FR"/>
        </w:rPr>
        <w:t>Chaque personne respecte les consignes de prévention, utilise correctement les équipements mis à disposition et signale sans délai toute situation présentant un danger, un incident ou une défaillance susceptible d’affecter la sécurité.</w:t>
      </w:r>
    </w:p>
    <w:p>
      <w:pPr>
        <w:spacing w:after="40"/>
      </w:pPr>
      <w:r>
        <w:rPr>
          <w:rFonts w:ascii="Arial" w:hAnsi="Arial" w:eastAsia="Arial" w:cs="Arial"/>
          <w:b/>
          <w:color w:val="17304F"/>
          <w:sz w:val="17"/>
          <w:lang w:val="fr-FR" w:eastAsia="fr-FR" w:bidi="fr-FR"/>
        </w:rPr>
        <w:t>Consignes propres aux activités réalisées</w:t>
      </w:r>
    </w:p>
    <w:tbl>
      <w:tblPr>
        <w:tblW w:type="auto" w:w="0"/>
        <w:jc w:val="center"/>
        <w:tblLayout w:type="autofit"/>
        <w:tblLook w:firstColumn="1" w:firstRow="1" w:lastColumn="0" w:lastRow="0" w:noHBand="0" w:noVBand="1" w:val="04A0"/>
        <w:tblCaption w:val="Consignes propres aux activités réalisées"/>
        <w:tblDescription w:val="Zone éditable : Consignes propres aux activités réalisées."/>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Consignes propres aux activités réalisées"/>
                <w:tag w:val="fk-modele-reglement-interieur-of-consignes_securite-1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Consignes propres aux activités réalisées</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bookmarkStart w:id="204" w:name="ri_article_4"/>
      <w:pPr>
        <w:pStyle w:val="Heading1"/>
        <w:keepNext/>
      </w:pPr>
      <w:r>
        <w:t>Article 4 — Urgence, accident et incident</w:t>
      </w:r>
      <w:bookmarkEnd w:id="204"/>
    </w:p>
    <w:p>
      <w:r>
        <w:rPr>
          <w:rFonts w:ascii="Arial" w:hAnsi="Arial" w:eastAsia="Arial" w:cs="Arial"/>
          <w:i w:val="0"/>
          <w:lang w:val="fr-FR" w:eastAsia="fr-FR" w:bidi="fr-FR"/>
        </w:rPr>
        <w:t>En cas d’urgence, d’accident ou d’incident, le stagiaire ou l’apprenti alerte immédiatement le contact prévu ou tout membre disponible de l’équipe. L’organisme met en œuvre la procédure adaptée au lieu, informe les personnes ou autorités compétentes et trace les faits nécessaires.</w:t>
      </w:r>
    </w:p>
    <w:tbl>
      <w:tblPr>
        <w:tblW w:type="dxa" w:w="9922"/>
        <w:jc w:val="center"/>
        <w:tblLayout w:type="fixed"/>
        <w:tblLook w:firstColumn="1" w:firstRow="1" w:lastColumn="0" w:lastRow="0" w:noHBand="0" w:noVBand="1" w:val="04A0"/>
        <w:tblCaption w:val="Contacts et procédure d’urgence"/>
        <w:tblDescription w:val="Contacts et étapes internes en cas d’urgence, accident ou incident."/>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Numéro d’urgence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Numéro d’urgence"/>
                <w:tag w:val="fk-modele-reglement-interieur-of-numero_urgence-1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Numéro d’urgence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Responsable à prévenir</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sponsable à prévenir"/>
                <w:tag w:val="fk-modele-reglement-interieur-of-responsable_urgence-1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Responsable à prévenir</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Procédure d’accident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océdure d’accident"/>
                <w:tag w:val="fk-modele-reglement-interieur-of-procedure_accident-1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Procédure d’accident</w:t>
                </w:r>
              </w:sdtContent>
            </w:sdt>
          </w:p>
        </w:tc>
      </w:tr>
    </w:tbl>
    <w:p>
      <w:pPr>
        <w:spacing w:after="0"/>
      </w:pPr>
    </w:p>
    <w:p>
      <w:bookmarkStart w:id="205" w:name="ri_article_5"/>
      <w:pPr>
        <w:pStyle w:val="Heading1"/>
        <w:keepNext/>
      </w:pPr>
      <w:r>
        <w:t>Article 5 — Incendie et évacuation</w:t>
      </w:r>
      <w:bookmarkEnd w:id="205"/>
    </w:p>
    <w:p>
      <w:r>
        <w:rPr>
          <w:rFonts w:ascii="Arial" w:hAnsi="Arial" w:eastAsia="Arial" w:cs="Arial"/>
          <w:i w:val="0"/>
          <w:lang w:val="fr-FR" w:eastAsia="fr-FR" w:bidi="fr-FR"/>
        </w:rPr>
        <w:t>Les consignes d’incendie, plans d’évacuation, points de rassemblement et moyens d’alerte propres au lieu sont communiqués ou affichés. Toute personne se conforme aux instructions données et ne gêne ni les accès ni les dispositifs de sécurité.</w:t>
      </w:r>
    </w:p>
    <w:p>
      <w:pPr>
        <w:spacing w:after="40"/>
      </w:pPr>
      <w:r>
        <w:rPr>
          <w:rFonts w:ascii="Arial" w:hAnsi="Arial" w:eastAsia="Arial" w:cs="Arial"/>
          <w:b/>
          <w:color w:val="17304F"/>
          <w:sz w:val="17"/>
          <w:lang w:val="fr-FR" w:eastAsia="fr-FR" w:bidi="fr-FR"/>
        </w:rPr>
        <w:t>Consignes, alarme et point de rassemblement</w:t>
      </w:r>
    </w:p>
    <w:tbl>
      <w:tblPr>
        <w:tblW w:type="auto" w:w="0"/>
        <w:jc w:val="center"/>
        <w:tblLayout w:type="autofit"/>
        <w:tblLook w:firstColumn="1" w:firstRow="1" w:lastColumn="0" w:lastRow="0" w:noHBand="0" w:noVBand="1" w:val="04A0"/>
        <w:tblCaption w:val="Consignes, alarme et point de rassemblement"/>
        <w:tblDescription w:val="Zone éditable : Consignes, alarme et point de rassemblement."/>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Consignes, alarme et point de rassemblement"/>
                <w:tag w:val="fk-modele-reglement-interieur-of-consignes_incendie-1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Consignes, alarme et point de rassemblement</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bookmarkStart w:id="206" w:name="ri_article_6"/>
      <w:pPr>
        <w:pStyle w:val="Heading1"/>
        <w:keepNext/>
      </w:pPr>
      <w:r>
        <w:t>Article 6 — Accès aux locaux et espaces de formation</w:t>
      </w:r>
      <w:bookmarkEnd w:id="206"/>
    </w:p>
    <w:p>
      <w:r>
        <w:rPr>
          <w:rFonts w:ascii="Arial" w:hAnsi="Arial" w:eastAsia="Arial" w:cs="Arial"/>
          <w:i w:val="0"/>
          <w:lang w:val="fr-FR" w:eastAsia="fr-FR" w:bidi="fr-FR"/>
        </w:rPr>
        <w:t>L’accès est limité aux horaires, zones et usages autorisés. L’accueil de visiteurs, l’accès à des zones techniques, l’introduction de matériels particuliers ou l’utilisation des locaux en dehors des séquences nécessitent l’accord préalable du responsable désigné.</w:t>
      </w:r>
    </w:p>
    <w:p>
      <w:bookmarkStart w:id="207" w:name="ri_article_7"/>
      <w:pPr>
        <w:pStyle w:val="Heading1"/>
        <w:keepNext/>
      </w:pPr>
      <w:r>
        <w:t>Article 7 — Comportement respectueux</w:t>
      </w:r>
      <w:bookmarkEnd w:id="207"/>
    </w:p>
    <w:p>
      <w:r>
        <w:rPr>
          <w:rFonts w:ascii="Arial" w:hAnsi="Arial" w:eastAsia="Arial" w:cs="Arial"/>
          <w:i w:val="0"/>
          <w:lang w:val="fr-FR" w:eastAsia="fr-FR" w:bidi="fr-FR"/>
        </w:rPr>
        <w:t>Les échanges doivent rester compatibles avec la dignité des personnes, la sécurité et le bon déroulement de la formation. Les violences, menaces, harcèlements, discriminations, humiliations, propos ou comportements portant atteinte aux droits d’autrui ne sont pas admis.</w:t>
      </w:r>
    </w:p>
    <w:p>
      <w:bookmarkStart w:id="208" w:name="ri_article_8"/>
      <w:pPr>
        <w:pStyle w:val="Heading1"/>
        <w:keepNext/>
      </w:pPr>
      <w:r>
        <w:t>Article 8 — Alcool, substances et altération des capacités</w:t>
      </w:r>
      <w:bookmarkEnd w:id="208"/>
    </w:p>
    <w:p>
      <w:r>
        <w:rPr>
          <w:rFonts w:ascii="Arial" w:hAnsi="Arial" w:eastAsia="Arial" w:cs="Arial"/>
          <w:i w:val="0"/>
          <w:lang w:val="fr-FR" w:eastAsia="fr-FR" w:bidi="fr-FR"/>
        </w:rPr>
        <w:t>Il est interdit de se présenter ou de demeurer dans un état incompatible avec la sécurité ou le déroulement de la formation. Les règles locales relatives à l’alcool, aux substances, aux médicaments affectant la vigilance et au tabac ou vapotage sont précisées en annexe.</w:t>
      </w:r>
    </w:p>
    <w:p>
      <w:pPr>
        <w:spacing w:after="40"/>
      </w:pPr>
      <w:r>
        <w:rPr>
          <w:rFonts w:ascii="Arial" w:hAnsi="Arial" w:eastAsia="Arial" w:cs="Arial"/>
          <w:b/>
          <w:color w:val="17304F"/>
          <w:sz w:val="17"/>
          <w:lang w:val="fr-FR" w:eastAsia="fr-FR" w:bidi="fr-FR"/>
        </w:rPr>
        <w:t>Règles adaptées au lieu et aux activités</w:t>
      </w:r>
    </w:p>
    <w:tbl>
      <w:tblPr>
        <w:tblW w:type="auto" w:w="0"/>
        <w:jc w:val="center"/>
        <w:tblLayout w:type="autofit"/>
        <w:tblLook w:firstColumn="1" w:firstRow="1" w:lastColumn="0" w:lastRow="0" w:noHBand="0" w:noVBand="1" w:val="04A0"/>
        <w:tblCaption w:val="Règles adaptées au lieu et aux activités"/>
        <w:tblDescription w:val="Zone éditable : Règles adaptées au lieu et aux activités."/>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adaptées au lieu et aux activités"/>
                <w:tag w:val="fk-modele-reglement-interieur-of-regles_substances-1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adaptées au lieu et aux activités</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bookmarkStart w:id="209" w:name="ri_article_9"/>
      <w:pPr>
        <w:pStyle w:val="Heading1"/>
        <w:keepNext/>
      </w:pPr>
      <w:r>
        <w:t>Article 9 — Matériel, ressources et systèmes numériques</w:t>
      </w:r>
      <w:bookmarkEnd w:id="209"/>
    </w:p>
    <w:p>
      <w:r>
        <w:rPr>
          <w:rFonts w:ascii="Arial" w:hAnsi="Arial" w:eastAsia="Arial" w:cs="Arial"/>
          <w:i w:val="0"/>
          <w:lang w:val="fr-FR" w:eastAsia="fr-FR" w:bidi="fr-FR"/>
        </w:rPr>
        <w:t>Les matériels et accès sont utilisés pour les finalités autorisées, avec soin et dans le respect des règles de sécurité informatique. Le partage d’identifiants, l’accès non autorisé, l’altération de données ou la diffusion de contenus illicites ou portant atteinte aux droits d’autrui sont interdits.</w:t>
      </w:r>
    </w:p>
    <w:p>
      <w:bookmarkStart w:id="210" w:name="ri_article_10"/>
      <w:pPr>
        <w:pStyle w:val="Heading1"/>
        <w:keepNext/>
      </w:pPr>
      <w:r>
        <w:t>Article 10 — Assiduité, horaires et absences</w:t>
      </w:r>
      <w:bookmarkEnd w:id="210"/>
    </w:p>
    <w:p>
      <w:r>
        <w:rPr>
          <w:rFonts w:ascii="Arial" w:hAnsi="Arial" w:eastAsia="Arial" w:cs="Arial"/>
          <w:i w:val="0"/>
          <w:lang w:val="fr-FR" w:eastAsia="fr-FR" w:bidi="fr-FR"/>
        </w:rPr>
        <w:t>Les bénéficiaires respectent les horaires et modalités prévues. Tout retard, absence ou interruption est signalé selon la procédure communiquée. Les justificatifs et corrections éventuels sont traités sans créer de preuve inexacte.</w:t>
      </w:r>
    </w:p>
    <w:tbl>
      <w:tblPr>
        <w:tblW w:type="dxa" w:w="9922"/>
        <w:jc w:val="center"/>
        <w:tblLayout w:type="fixed"/>
        <w:tblLook w:firstColumn="1" w:firstRow="1" w:lastColumn="0" w:lastRow="0" w:noHBand="0" w:noVBand="1" w:val="04A0"/>
        <w:tblCaption w:val="Gestion des absences"/>
        <w:tblDescription w:val="Procédure de signalement et de traitement des absences."/>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Canal d’absence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nal d’absence"/>
                <w:tag w:val="fk-modele-reglement-interieur-of-canal_absence-1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Canal d’absence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Délai de signalement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lai de signalement"/>
                <w:tag w:val="fk-modele-reglement-interieur-of-delai_absence-1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Délai de signalement</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Justificatifs utiles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Justificatifs utiles"/>
                <w:tag w:val="fk-modele-reglement-interieur-of-justificatifs_absence-1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Justificatifs utiles</w:t>
                </w:r>
              </w:sdtContent>
            </w:sdt>
          </w:p>
          <w:p>
            <w:r>
              <w:rPr>
                <w:rFonts w:ascii="Arial" w:hAnsi="Arial" w:eastAsia="Arial" w:cs="Arial"/>
                <w:i/>
                <w:color w:val="66717D"/>
                <w:sz w:val="14"/>
                <w:lang w:val="fr-FR" w:eastAsia="fr-FR" w:bidi="fr-FR"/>
              </w:rPr>
              <w:t>Ne demander que les justificatifs pertinents.</w:t>
            </w:r>
          </w:p>
        </w:tc>
      </w:tr>
    </w:tbl>
    <w:p>
      <w:pPr>
        <w:spacing w:after="0"/>
      </w:pPr>
    </w:p>
    <w:p>
      <w:bookmarkStart w:id="211" w:name="ri_article_11"/>
      <w:pPr>
        <w:pStyle w:val="Heading1"/>
        <w:keepNext/>
      </w:pPr>
      <w:r>
        <w:t>Article 11 — Participation et évaluations</w:t>
      </w:r>
      <w:bookmarkEnd w:id="211"/>
    </w:p>
    <w:p>
      <w:r>
        <w:rPr>
          <w:rFonts w:ascii="Arial" w:hAnsi="Arial" w:eastAsia="Arial" w:cs="Arial"/>
          <w:i w:val="0"/>
          <w:lang w:val="fr-FR" w:eastAsia="fr-FR" w:bidi="fr-FR"/>
        </w:rPr>
        <w:t>Les bénéficiaires participent aux activités et évaluations prévues, dans le respect des consignes pédagogiques. Toute difficulté technique, pédagogique ou personnelle affectant le parcours est signalée afin d’examiner une adaptation ou une orientation appropriée.</w:t>
      </w:r>
    </w:p>
    <w:p>
      <w:bookmarkStart w:id="212" w:name="ri_article_12"/>
      <w:pPr>
        <w:pStyle w:val="Heading1"/>
        <w:keepNext/>
      </w:pPr>
      <w:r>
        <w:t>Article 12 — Confidentialité, image et enregistrements</w:t>
      </w:r>
      <w:bookmarkEnd w:id="212"/>
    </w:p>
    <w:p>
      <w:r>
        <w:rPr>
          <w:rFonts w:ascii="Arial" w:hAnsi="Arial" w:eastAsia="Arial" w:cs="Arial"/>
          <w:i w:val="0"/>
          <w:lang w:val="fr-FR" w:eastAsia="fr-FR" w:bidi="fr-FR"/>
        </w:rPr>
        <w:t>Les informations confidentielles rencontrées pendant la formation ne sont pas diffusées sans autorisation. Les photographies, captures, enregistrements sonores ou vidéo et reproductions de supports sont soumis au droit applicable et aux autorisations nécessaires.</w:t>
      </w:r>
    </w:p>
    <w:p>
      <w:bookmarkStart w:id="213" w:name="ri_article_13"/>
      <w:pPr>
        <w:pStyle w:val="Heading1"/>
        <w:keepNext/>
      </w:pPr>
      <w:r>
        <w:t>Article 13 — Accessibilité et aménagements</w:t>
      </w:r>
      <w:bookmarkEnd w:id="213"/>
    </w:p>
    <w:p>
      <w:r>
        <w:rPr>
          <w:rFonts w:ascii="Arial" w:hAnsi="Arial" w:eastAsia="Arial" w:cs="Arial"/>
          <w:i w:val="0"/>
          <w:lang w:val="fr-FR" w:eastAsia="fr-FR" w:bidi="fr-FR"/>
        </w:rPr>
        <w:t>Les besoins d’adaptation utiles peuvent être signalés au contact désigné. L’organisme analyse la demande, échange avec la personne concernée et mobilise, lorsque cela est possible, les aménagements ou partenaires pertinents.</w:t>
      </w:r>
    </w:p>
    <w:tbl>
      <w:tblPr>
        <w:tblW w:type="dxa" w:w="9922"/>
        <w:jc w:val="center"/>
        <w:tblLayout w:type="fixed"/>
        <w:tblLook w:firstColumn="1" w:firstRow="1" w:lastColumn="0" w:lastRow="0" w:noHBand="0" w:noVBand="1" w:val="04A0"/>
        <w:tblCaption w:val="Accessibilité"/>
        <w:tblDescription w:val="Contacts et partenaires mobilisables pour les besoins d’adaptation."/>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Référent / contact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éférent / contact"/>
                <w:tag w:val="fk-modele-reglement-interieur-of-referent_handicap-1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Référent / contact</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Canal confidentiel</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nal confidentiel"/>
                <w:tag w:val="fk-modele-reglement-interieur-of-canal_adaptation-2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Canal confidentiel</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Partenaires mobilisables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artenaires mobilisables"/>
                <w:tag w:val="fk-modele-reglement-interieur-of-partenaires_handicap-2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Partenaires mobilisables</w:t>
                </w:r>
              </w:sdtContent>
            </w:sdt>
          </w:p>
        </w:tc>
      </w:tr>
    </w:tbl>
    <w:p>
      <w:pPr>
        <w:spacing w:after="0"/>
      </w:pPr>
    </w:p>
    <w:p>
      <w:bookmarkStart w:id="214" w:name="ri_article_14"/>
      <w:pPr>
        <w:pStyle w:val="Heading1"/>
        <w:keepNext/>
      </w:pPr>
      <w:r>
        <w:t>Article 14 — Définition et échelle des sanctions</w:t>
      </w:r>
      <w:bookmarkEnd w:id="214"/>
    </w:p>
    <w:p>
      <w:r>
        <w:rPr>
          <w:rFonts w:ascii="Arial" w:hAnsi="Arial" w:eastAsia="Arial" w:cs="Arial"/>
          <w:i w:val="0"/>
          <w:lang w:val="fr-FR" w:eastAsia="fr-FR" w:bidi="fr-FR"/>
        </w:rPr>
        <w:t>Constitue une sanction toute mesure, autre qu’une observation verbale, prise à la suite d’un agissement considéré comme fautif et susceptible d’affecter la présence ou la continuité de la formation. Les sanctions pécuniaires sont interdites. L’échelle retenue est précisée ci-dessous et doit être proportionnée aux faits.</w:t>
      </w:r>
    </w:p>
    <w:tbl>
      <w:tblPr>
        <w:tblW w:type="dxa" w:w="9922"/>
        <w:jc w:val="center"/>
        <w:tblLayout w:type="fixed"/>
        <w:tblLook w:firstColumn="1" w:firstRow="1" w:lastColumn="0" w:lastRow="0" w:noHBand="0" w:noVBand="1" w:val="04A0"/>
        <w:tblCaption w:val="Échelle des sanctions"/>
        <w:tblDescription w:val="Échelle personnalisable des sanctions disciplinaires."/>
        <w:tblInd w:w="0" w:type="dxa"/>
      </w:tblPr>
      <w:tblGrid>
        <w:gridCol w:w="726"/>
        <w:gridCol w:w="3146"/>
        <w:gridCol w:w="6050"/>
      </w:tblGrid>
      <w:tr>
        <w:trPr>
          <w:tblHeader w:val="true"/>
          <w:cantSplit/>
        </w:trPr>
        <w:tc>
          <w:tcPr>
            <w:tcW w:type="dxa" w:w="726"/>
            <w:shd w:fill="17304F" w:val="clear"/>
            <w:tcMar>
              <w:top w:w="90" w:type="dxa"/>
              <w:start w:w="65" w:type="dxa"/>
              <w:bottom w:w="90" w:type="dxa"/>
              <w:end w:w="65" w:type="dxa"/>
            </w:tcMar>
            <w:vAlign w:val="center"/>
          </w:tcPr>
          <w:p>
            <w:pPr>
              <w:jc w:val="center"/>
            </w:pPr>
            <w:r>
              <w:rPr>
                <w:rFonts w:ascii="Arial" w:hAnsi="Arial" w:eastAsia="Arial" w:cs="Arial"/>
                <w:b/>
                <w:color w:val="FFFFFF"/>
                <w:sz w:val="16"/>
                <w:lang w:val="fr-FR" w:eastAsia="fr-FR" w:bidi="fr-FR"/>
              </w:rPr>
              <w:t>Niveau</w:t>
            </w:r>
          </w:p>
        </w:tc>
        <w:tc>
          <w:tcPr>
            <w:tcW w:type="dxa" w:w="3146"/>
            <w:shd w:fill="17304F" w:val="clear"/>
            <w:tcMar>
              <w:top w:w="90" w:type="dxa"/>
              <w:start w:w="65" w:type="dxa"/>
              <w:bottom w:w="90" w:type="dxa"/>
              <w:end w:w="65" w:type="dxa"/>
            </w:tcMar>
            <w:vAlign w:val="center"/>
          </w:tcPr>
          <w:p>
            <w:pPr>
              <w:jc w:val="center"/>
            </w:pPr>
            <w:r>
              <w:rPr>
                <w:rFonts w:ascii="Arial" w:hAnsi="Arial" w:eastAsia="Arial" w:cs="Arial"/>
                <w:b/>
                <w:color w:val="FFFFFF"/>
                <w:sz w:val="16"/>
                <w:lang w:val="fr-FR" w:eastAsia="fr-FR" w:bidi="fr-FR"/>
              </w:rPr>
              <w:t>Sanction possible</w:t>
            </w:r>
          </w:p>
        </w:tc>
        <w:tc>
          <w:tcPr>
            <w:tcW w:type="dxa" w:w="6050"/>
            <w:shd w:fill="17304F" w:val="clear"/>
            <w:tcMar>
              <w:top w:w="90" w:type="dxa"/>
              <w:start w:w="65" w:type="dxa"/>
              <w:bottom w:w="90" w:type="dxa"/>
              <w:end w:w="65" w:type="dxa"/>
            </w:tcMar>
            <w:vAlign w:val="center"/>
          </w:tcPr>
          <w:p>
            <w:pPr>
              <w:jc w:val="center"/>
            </w:pPr>
            <w:r>
              <w:rPr>
                <w:rFonts w:ascii="Arial" w:hAnsi="Arial" w:eastAsia="Arial" w:cs="Arial"/>
                <w:b/>
                <w:color w:val="FFFFFF"/>
                <w:sz w:val="16"/>
                <w:lang w:val="fr-FR" w:eastAsia="fr-FR" w:bidi="fr-FR"/>
              </w:rPr>
              <w:t>Conditions / remarques</w:t>
            </w:r>
          </w:p>
        </w:tc>
      </w:tr>
      <w:tr>
        <w:trPr>
          <w:cantSplit/>
        </w:trPr>
        <w:tc>
          <w:tcPr>
            <w:tcW w:type="dxa" w:w="72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1</w:t>
            </w:r>
          </w:p>
        </w:tc>
        <w:tc>
          <w:tcPr>
            <w:tcW w:type="dxa" w:w="314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Avertissement écrit</w:t>
            </w:r>
          </w:p>
        </w:tc>
        <w:tc>
          <w:tcPr>
            <w:tcW w:type="dxa" w:w="605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À proportionner aux faits et au contexte.</w:t>
            </w:r>
          </w:p>
        </w:tc>
      </w:tr>
      <w:tr>
        <w:trPr>
          <w:cantSplit/>
        </w:trPr>
        <w:tc>
          <w:tcPr>
            <w:tcW w:type="dxa" w:w="72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2</w:t>
            </w:r>
          </w:p>
        </w:tc>
        <w:tc>
          <w:tcPr>
            <w:tcW w:type="dxa" w:w="314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Blâme</w:t>
            </w:r>
          </w:p>
        </w:tc>
        <w:tc>
          <w:tcPr>
            <w:tcW w:type="dxa" w:w="605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À conserver uniquement si utilisé par l’organisme.</w:t>
            </w:r>
          </w:p>
        </w:tc>
      </w:tr>
      <w:tr>
        <w:trPr>
          <w:cantSplit/>
        </w:trPr>
        <w:tc>
          <w:tcPr>
            <w:tcW w:type="dxa" w:w="72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3</w:t>
            </w:r>
          </w:p>
        </w:tc>
        <w:tc>
          <w:tcPr>
            <w:tcW w:type="dxa" w:w="314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Exclusion temporaire</w:t>
            </w:r>
          </w:p>
        </w:tc>
        <w:tc>
          <w:tcPr>
            <w:tcW w:type="dxa" w:w="6050"/>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Durée et effets à préciser.</w:t>
            </w:r>
          </w:p>
        </w:tc>
      </w:tr>
      <w:tr>
        <w:trPr>
          <w:cantSplit/>
        </w:trPr>
        <w:tc>
          <w:tcPr>
            <w:tcW w:type="dxa" w:w="72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4</w:t>
            </w:r>
          </w:p>
        </w:tc>
        <w:tc>
          <w:tcPr>
            <w:tcW w:type="dxa" w:w="314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Exclusion définitive</w:t>
            </w:r>
          </w:p>
        </w:tc>
        <w:tc>
          <w:tcPr>
            <w:tcW w:type="dxa" w:w="6050"/>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Mesure la plus grave ; respecter strictement la procédure.</w:t>
            </w:r>
          </w:p>
        </w:tc>
      </w:tr>
    </w:tbl>
    <w:p>
      <w:pPr>
        <w:spacing w:after="0"/>
      </w:pPr>
    </w:p>
    <w:p>
      <w:pPr>
        <w:spacing w:after="40"/>
      </w:pPr>
      <w:r>
        <w:rPr>
          <w:rFonts w:ascii="Arial" w:hAnsi="Arial" w:eastAsia="Arial" w:cs="Arial"/>
          <w:b/>
          <w:color w:val="17304F"/>
          <w:sz w:val="17"/>
          <w:lang w:val="fr-FR" w:eastAsia="fr-FR" w:bidi="fr-FR"/>
        </w:rPr>
        <w:t>Adaptations ou sanctions supplémentaires validées</w:t>
      </w:r>
    </w:p>
    <w:tbl>
      <w:tblPr>
        <w:tblW w:type="auto" w:w="0"/>
        <w:jc w:val="center"/>
        <w:tblLayout w:type="autofit"/>
        <w:tblLook w:firstColumn="1" w:firstRow="1" w:lastColumn="0" w:lastRow="0" w:noHBand="0" w:noVBand="1" w:val="04A0"/>
        <w:tblCaption w:val="Adaptations ou sanctions supplémentaires validées"/>
        <w:tblDescription w:val="Zone éditable : Adaptations ou sanctions supplémentaires validées."/>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daptations ou sanctions supplémentaires validées"/>
                <w:tag w:val="fk-modele-reglement-interieur-of-echelle_sanctions_adaptee-2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Adaptations ou sanctions supplémentaires validées</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bookmarkStart w:id="215" w:name="ri_article_15"/>
      <w:pPr>
        <w:pStyle w:val="Heading1"/>
        <w:keepNext/>
      </w:pPr>
      <w:r>
        <w:t>Article 15 — Information préalable et procédure disciplinaire</w:t>
      </w:r>
      <w:bookmarkEnd w:id="215"/>
    </w:p>
    <w:p>
      <w:r>
        <w:rPr>
          <w:rFonts w:ascii="Arial" w:hAnsi="Arial" w:eastAsia="Arial" w:cs="Arial"/>
          <w:i w:val="0"/>
          <w:lang w:val="fr-FR" w:eastAsia="fr-FR" w:bidi="fr-FR"/>
        </w:rPr>
        <w:t>Aucune sanction n’est prononcée sans information préalable des griefs. Lorsqu’une sanction peut affecter la présence dans la formation, la personne est convoquée par écrit à un entretien indiquant son objet, sa date, son heure et son lieu. Elle peut se faire assister par la personne de son choix. Le responsable expose le motif envisagé et recueille ses explications.</w:t>
      </w:r>
    </w:p>
    <w:p>
      <w:bookmarkStart w:id="216" w:name="ri_article_16"/>
      <w:pPr>
        <w:pStyle w:val="Heading1"/>
        <w:keepNext/>
      </w:pPr>
      <w:r>
        <w:t>Article 16 — Décision, délai et mesure conservatoire</w:t>
      </w:r>
      <w:bookmarkEnd w:id="216"/>
    </w:p>
    <w:p>
      <w:r>
        <w:rPr>
          <w:rFonts w:ascii="Arial" w:hAnsi="Arial" w:eastAsia="Arial" w:cs="Arial"/>
          <w:i w:val="0"/>
          <w:lang w:val="fr-FR" w:eastAsia="fr-FR" w:bidi="fr-FR"/>
        </w:rPr>
        <w:t>La sanction intervient au moins un jour franc et au plus quinze jours après l’entretien. Elle est écrite, motivée et notifiée par lettre recommandée ou remise contre récépissé. Une exclusion temporaire conservatoire peut être prise si elle est indispensable, sans dispenser du respect de la procédure avant la sanction définitive.</w:t>
      </w:r>
    </w:p>
    <w:p>
      <w:bookmarkStart w:id="217" w:name="ri_article_17"/>
      <w:pPr>
        <w:pStyle w:val="Heading1"/>
        <w:keepNext/>
      </w:pPr>
      <w:r>
        <w:t>Article 17 — Information de l’employeur et du financeur</w:t>
      </w:r>
      <w:bookmarkEnd w:id="217"/>
    </w:p>
    <w:p>
      <w:r>
        <w:rPr>
          <w:rFonts w:ascii="Arial" w:hAnsi="Arial" w:eastAsia="Arial" w:cs="Arial"/>
          <w:i w:val="0"/>
          <w:lang w:val="fr-FR" w:eastAsia="fr-FR" w:bidi="fr-FR"/>
        </w:rPr>
        <w:t>Le directeur informe l’employeur et l’organisme financeur de la sanction prise. Pour un apprenti, l’employeur est également informé de la procédure, de son objet et du motif envisagé.</w:t>
      </w:r>
    </w:p>
    <w:p>
      <w:bookmarkStart w:id="218" w:name="ri_article_18"/>
      <w:pPr>
        <w:pStyle w:val="Heading1"/>
        <w:keepNext/>
      </w:pPr>
      <w:r>
        <w:t>Article 18 — Représentation des sessions de plus de 500 heures — bloc conditionnel</w:t>
      </w:r>
      <w:bookmarkEnd w:id="218"/>
    </w:p>
    <w:p>
      <w:r>
        <w:rPr>
          <w:rFonts w:ascii="Arial" w:hAnsi="Arial" w:eastAsia="Arial" w:cs="Arial"/>
          <w:i w:val="0"/>
          <w:lang w:val="fr-FR" w:eastAsia="fr-FR" w:bidi="fr-FR"/>
        </w:rPr>
        <w:t>Pour les actions organisées en sessions d’une durée totale supérieure à 500 heures, un délégué titulaire et un suppléant sont élus au scrutin uninominal à deux tours. Le scrutin se déroule pendant la formation, entre vingt et quarante heures après le début de la première session collective. En cas d’impossibilité, un procès-verbal de carence est établi.</w:t>
      </w:r>
    </w:p>
    <w:tbl>
      <w:tblPr>
        <w:tblW w:type="auto" w:w="0"/>
        <w:jc w:val="center"/>
        <w:tblLook w:firstColumn="1" w:firstRow="1" w:lastColumn="0" w:lastRow="0" w:noHBand="0" w:noVBand="1" w:val="04A0"/>
        <w:tblCaption w:val="Notice — Condition d’application"/>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Condition d’application</w:t>
            </w:r>
          </w:p>
          <w:p>
            <w:pPr>
              <w:spacing w:after="0"/>
            </w:pPr>
            <w:r>
              <w:rPr>
                <w:rFonts w:ascii="Arial" w:hAnsi="Arial" w:eastAsia="Arial" w:cs="Arial"/>
                <w:color w:val="26313B"/>
                <w:sz w:val="17"/>
                <w:lang w:val="fr-FR" w:eastAsia="fr-FR" w:bidi="fr-FR"/>
              </w:rPr>
              <w:t>Conserver cet article uniquement pour les actions organisées en sessions d’une durée totale supérieure à 500 heures.</w:t>
            </w:r>
          </w:p>
        </w:tc>
      </w:tr>
    </w:tbl>
    <w:p>
      <w:pPr>
        <w:spacing w:after="0"/>
      </w:pPr>
    </w:p>
    <w:p>
      <w:bookmarkStart w:id="219" w:name="ri_article_19"/>
      <w:pPr>
        <w:pStyle w:val="Heading1"/>
        <w:keepNext/>
      </w:pPr>
      <w:r>
        <w:t>Article 19 — Mandat et attributions des délégués — bloc conditionnel</w:t>
      </w:r>
      <w:bookmarkEnd w:id="219"/>
    </w:p>
    <w:p>
      <w:r>
        <w:rPr>
          <w:rFonts w:ascii="Arial" w:hAnsi="Arial" w:eastAsia="Arial" w:cs="Arial"/>
          <w:i w:val="0"/>
          <w:lang w:val="fr-FR" w:eastAsia="fr-FR" w:bidi="fr-FR"/>
        </w:rPr>
        <w:t>Les délégués sont élus pour la durée de la formation. Ils formulent des suggestions sur le déroulement et les conditions de vie et présentent les réclamations individuelles ou collectives relatives à ces matières, à la santé et à la sécurité et à l’application du règlement.</w:t>
      </w:r>
    </w:p>
    <w:p>
      <w:bookmarkStart w:id="220" w:name="ri_article_20"/>
      <w:pPr>
        <w:pStyle w:val="Heading1"/>
        <w:keepNext/>
      </w:pPr>
      <w:r>
        <w:t>Article 20 — Égalité, libertés et neutralité — bloc conditionnel L. 6352-4</w:t>
      </w:r>
      <w:bookmarkEnd w:id="220"/>
    </w:p>
    <w:p>
      <w:r>
        <w:rPr>
          <w:rFonts w:ascii="Arial" w:hAnsi="Arial" w:eastAsia="Arial" w:cs="Arial"/>
          <w:i w:val="0"/>
          <w:lang w:val="fr-FR" w:eastAsia="fr-FR" w:bidi="fr-FR"/>
        </w:rPr>
        <w:t>Lorsqu’il sollicite des fonds auprès des financeurs mentionnés à l’article L. 6316-1, l’organisme assure le traitement égal de tous les stagiaires et apprentis. Il veille au respect de la liberté d’expression et de conscience ainsi qu’à la neutralité des enseignements dispensés.</w:t>
      </w:r>
    </w:p>
    <w:tbl>
      <w:tblPr>
        <w:tblW w:type="auto" w:w="0"/>
        <w:jc w:val="center"/>
        <w:tblLook w:firstColumn="1" w:firstRow="1" w:lastColumn="0" w:lastRow="0" w:noHBand="0" w:noVBand="1" w:val="04A0"/>
        <w:tblCaption w:val="Notice — Entrée en vigueur au 27 juin 2026"/>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Entrée en vigueur au 27 juin 2026</w:t>
            </w:r>
          </w:p>
          <w:p>
            <w:pPr>
              <w:spacing w:after="0"/>
            </w:pPr>
            <w:r>
              <w:rPr>
                <w:rFonts w:ascii="Arial" w:hAnsi="Arial" w:eastAsia="Arial" w:cs="Arial"/>
                <w:color w:val="26313B"/>
                <w:sz w:val="17"/>
                <w:lang w:val="fr-FR" w:eastAsia="fr-FR" w:bidi="fr-FR"/>
              </w:rPr>
              <w:t>Conserver cet article lorsque l’organisme sollicite des fonds auprès des financeurs visés à l’article L. 6316-1. Il ne doit pas être présenté comme une clause universelle sans ce contexte.</w:t>
            </w:r>
          </w:p>
        </w:tc>
      </w:tr>
    </w:tbl>
    <w:p>
      <w:pPr>
        <w:spacing w:after="0"/>
      </w:pPr>
    </w:p>
    <w:p>
      <w:bookmarkStart w:id="221" w:name="ri_article_21"/>
      <w:pPr>
        <w:pStyle w:val="Heading1"/>
        <w:keepNext/>
      </w:pPr>
      <w:r>
        <w:t>Article 21 — Formation à distance — bloc conditionnel</w:t>
      </w:r>
      <w:bookmarkEnd w:id="221"/>
    </w:p>
    <w:p>
      <w:r>
        <w:rPr>
          <w:rFonts w:ascii="Arial" w:hAnsi="Arial" w:eastAsia="Arial" w:cs="Arial"/>
          <w:i w:val="0"/>
          <w:lang w:val="fr-FR" w:eastAsia="fr-FR" w:bidi="fr-FR"/>
        </w:rPr>
        <w:t>Dans les espaces de formation à distance, les règles de comportement, de confidentialité, de sécurité numérique, d’assiduité et de respect d’autrui restent applicables. Les modalités d’assistance, d’identification, d’activité, d’évaluation et de signalement des difficultés sont précisées dans les documents de la formation.</w:t>
      </w:r>
    </w:p>
    <w:p>
      <w:pPr>
        <w:spacing w:after="40"/>
      </w:pPr>
      <w:r>
        <w:rPr>
          <w:rFonts w:ascii="Arial" w:hAnsi="Arial" w:eastAsia="Arial" w:cs="Arial"/>
          <w:b/>
          <w:color w:val="17304F"/>
          <w:sz w:val="17"/>
          <w:lang w:val="fr-FR" w:eastAsia="fr-FR" w:bidi="fr-FR"/>
        </w:rPr>
        <w:t>Règles spécifiques aux outils et séquences à distance</w:t>
      </w:r>
    </w:p>
    <w:tbl>
      <w:tblPr>
        <w:tblW w:type="auto" w:w="0"/>
        <w:jc w:val="center"/>
        <w:tblLayout w:type="autofit"/>
        <w:tblLook w:firstColumn="1" w:firstRow="1" w:lastColumn="0" w:lastRow="0" w:noHBand="0" w:noVBand="1" w:val="04A0"/>
        <w:tblCaption w:val="Règles spécifiques aux outils et séquences à distance"/>
        <w:tblDescription w:val="Zone éditable : Règles spécifiques aux outils et séquences à distanc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spécifiques aux outils et séquences à distance"/>
                <w:tag w:val="fk-modele-reglement-interieur-of-regles_distance-2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spécifiques aux outils et séquences à distance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bookmarkStart w:id="222" w:name="ri_article_22"/>
      <w:pPr>
        <w:pStyle w:val="Heading1"/>
        <w:keepNext/>
      </w:pPr>
      <w:r>
        <w:t>Article 22 — Communication, entrée en vigueur et révision</w:t>
      </w:r>
      <w:bookmarkEnd w:id="222"/>
    </w:p>
    <w:p>
      <w:r>
        <w:rPr>
          <w:rFonts w:ascii="Arial" w:hAnsi="Arial" w:eastAsia="Arial" w:cs="Arial"/>
          <w:i w:val="0"/>
          <w:lang w:val="fr-FR" w:eastAsia="fr-FR" w:bidi="fr-FR"/>
        </w:rPr>
        <w:t>Le règlement est mis à disposition avant l’inscription définitive selon les règles applicables. Il entre en vigueur à la date indiquée, fait l’objet d’une validation interne et est révisé lorsque les textes, locaux, modalités ou pratiques changent de manière significative.</w:t>
      </w:r>
    </w:p>
    <w:tbl>
      <w:tblPr>
        <w:tblW w:type="dxa" w:w="9922"/>
        <w:jc w:val="center"/>
        <w:tblLayout w:type="fixed"/>
        <w:tblLook w:firstColumn="1" w:firstRow="1" w:lastColumn="0" w:lastRow="0" w:noHBand="0" w:noVBand="1" w:val="04A0"/>
        <w:tblCaption w:val="Adoption et diffusion"/>
        <w:tblDescription w:val="Modalités d’adoption, de mise à disposition et de revue."/>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Mode de mise à disposition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Mode de mise à disposition"/>
                <w:tag w:val="fk-modele-reglement-interieur-of-mode_communication_ri-2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Mode de mise à disposition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 d’adoption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 d’adoption"/>
                <w:tag w:val="fk-modele-reglement-interieur-of-date_adoption-2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 d’adoption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Responsable de validation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sponsable de validation"/>
                <w:tag w:val="fk-modele-reglement-interieur-of-responsable_validation-2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Responsable de validation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Prochaine revue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ochaine revue"/>
                <w:tag w:val="fk-modele-reglement-interieur-of-prochaine_revue_interne-2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Prochaine revue</w:t>
                </w:r>
              </w:sdtContent>
            </w:sdt>
          </w:p>
        </w:tc>
      </w:tr>
    </w:tbl>
    <w:p>
      <w:pPr>
        <w:spacing w:after="0"/>
      </w:pPr>
    </w:p>
    <w:p>
      <w:pPr>
        <w:pStyle w:val="Heading1"/>
        <w:keepNext/>
      </w:pPr>
      <w:r>
        <w:t>Annexe 1 — Consignes du lieu</w:t>
      </w:r>
    </w:p>
    <w:tbl>
      <w:tblPr>
        <w:tblW w:type="dxa" w:w="9922"/>
        <w:jc w:val="center"/>
        <w:tblLayout w:type="fixed"/>
        <w:tblLook w:firstColumn="1" w:firstRow="1" w:lastColumn="0" w:lastRow="0" w:noHBand="0" w:noVBand="1" w:val="04A0"/>
        <w:tblCaption w:val="Consignes locales"/>
        <w:tblDescription w:val="Consignes de santé et sécurité propres au lieu d’accueil."/>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Nom et adresse du lieu</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Nom et adresse du lieu"/>
                <w:tag w:val="fk-modele-reglement-interieur-of-annexe_lieu-2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Nom et adresse du lieu</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Accueil et accès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cueil et accès"/>
                <w:tag w:val="fk-modele-reglement-interieur-of-annexe_acces-2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Accueil et accès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Horaires d’ouverture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Horaires d’ouverture"/>
                <w:tag w:val="fk-modele-reglement-interieur-of-annexe_horaires-3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Horaires d’ouverture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Alarme et évacuation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larme et évacuation"/>
                <w:tag w:val="fk-modele-reglement-interieur-of-annexe_evacuation-3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Alarme et évacuation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Point de rassemblement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oint de rassemblement"/>
                <w:tag w:val="fk-modele-reglement-interieur-of-annexe_rassemblement-3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Point de rassemblement</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Secours / défibrillateur</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ecours / défibrillateur"/>
                <w:tag w:val="fk-modele-reglement-interieur-of-annexe_secours-3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Secours / défibrillateur</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Zones interdites / contraintes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Zones interdites / contraintes"/>
                <w:tag w:val="fk-modele-reglement-interieur-of-annexe_zones-3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Zones interdites / contraintes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Autres consignes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utres consignes"/>
                <w:tag w:val="fk-modele-reglement-interieur-of-annexe_autres-3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Autres consignes</w:t>
                </w:r>
              </w:sdtContent>
            </w:sdt>
          </w:p>
        </w:tc>
      </w:tr>
    </w:tbl>
    <w:p>
      <w:pPr>
        <w:spacing w:after="0"/>
      </w:pPr>
    </w:p>
    <w:p>
      <w:pPr>
        <w:pStyle w:val="Heading1"/>
        <w:keepNext/>
      </w:pPr>
      <w:r>
        <w:t>Annexe 2 — Règles pour la formation à distance</w:t>
      </w:r>
    </w:p>
    <w:tbl>
      <w:tblPr>
        <w:tblW w:type="dxa" w:w="9922"/>
        <w:jc w:val="center"/>
        <w:tblLayout w:type="fixed"/>
        <w:tblLook w:firstColumn="1" w:firstRow="1" w:lastColumn="0" w:lastRow="0" w:noHBand="0" w:noVBand="1" w:val="04A0"/>
        <w:tblCaption w:val="Formation à distance"/>
        <w:tblDescription w:val="Règles complémentaires applicables aux espaces numériques de formation."/>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Plateforme / outils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lateforme / outils"/>
                <w:tag w:val="fk-modele-reglement-interieur-of-distance_outils-3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Plateforme / outils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Assistance technique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ssistance technique"/>
                <w:tag w:val="fk-modele-reglement-interieur-of-distance_assistance_technique-3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Assistance technique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Assistance pédagogique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ssistance pédagogique"/>
                <w:tag w:val="fk-modele-reglement-interieur-of-distance_assistance_pedagogique-3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Assistance pédagogique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Identification et accès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dentification et accès"/>
                <w:tag w:val="fk-modele-reglement-interieur-of-distance_identification-3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Identification et accès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Confidentialité / enregistrements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fidentialité / enregistrements"/>
                <w:tag w:val="fk-modele-reglement-interieur-of-distance_confidentialite-4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Confidentialité / enregistrements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Signalement d’un incident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ignalement d’un incident"/>
                <w:tag w:val="fk-modele-reglement-interieur-of-distance_incident-4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Signalement d’un incident</w:t>
                </w:r>
              </w:sdtContent>
            </w:sdt>
          </w:p>
        </w:tc>
      </w:tr>
    </w:tbl>
    <w:p>
      <w:pPr>
        <w:spacing w:after="0"/>
      </w:pPr>
    </w:p>
    <w:p>
      <w:pPr>
        <w:pStyle w:val="Heading1"/>
        <w:keepNext/>
      </w:pPr>
      <w:r>
        <w:t>Validation interne</w:t>
      </w:r>
    </w:p>
    <w:tbl>
      <w:tblPr>
        <w:tblW w:type="auto" w:w="0"/>
        <w:jc w:val="center"/>
        <w:tblLayout w:type="autofit"/>
        <w:tblLook w:firstColumn="1" w:firstRow="1" w:lastColumn="0" w:lastRow="0" w:noHBand="0" w:noVBand="1" w:val="04A0"/>
        <w:tblCaption w:val="Signatures"/>
        <w:tblDescription w:val="Zones de signature et d’identification des signataires."/>
      </w:tblPr>
      <w:tblGrid>
        <w:gridCol w:w="9922"/>
      </w:tblGrid>
      <w:tr>
        <w:trPr>
          <w:cantSplit/>
        </w:trPr>
        <w:tc>
          <w:tcPr>
            <w:tcW w:type="dxa" w:w="9922"/>
            <w:shd w:fill="FAFBFC" w:val="clear"/>
            <w:tcBorders>
              <w:top w:val="single" w:sz="6" w:space="0" w:color="CBD5DF"/>
              <w:bottom w:val="single" w:sz="6" w:space="0" w:color="CBD5DF"/>
              <w:start w:val="single" w:sz="6" w:space="0" w:color="CBD5DF"/>
              <w:end w:val="single" w:sz="6" w:space="0" w:color="CBD5DF"/>
            </w:tcBorders>
            <w:tcMar>
              <w:top w:w="110" w:type="dxa"/>
              <w:start w:w="120" w:type="dxa"/>
              <w:bottom w:w="110" w:type="dxa"/>
              <w:end w:w="120" w:type="dxa"/>
            </w:tcMar>
          </w:tcPr>
          <w:p>
            <w:r>
              <w:rPr>
                <w:rFonts w:ascii="Arial" w:hAnsi="Arial" w:eastAsia="Arial" w:cs="Arial"/>
                <w:b/>
                <w:color w:val="17304F"/>
                <w:sz w:val="18"/>
                <w:lang w:val="fr-FR" w:eastAsia="fr-FR" w:bidi="fr-FR"/>
              </w:rPr>
              <w:t>Responsable de l’organisme</w:t>
            </w:r>
          </w:p>
          <w:p>
            <w:r>
              <w:rPr>
                <w:rFonts w:ascii="Arial" w:hAnsi="Arial" w:eastAsia="Arial" w:cs="Arial"/>
                <w:b/>
                <w:lang w:val="fr-FR" w:eastAsia="fr-FR" w:bidi="fr-FR"/>
              </w:rPr>
              <w:t xml:space="preserve">Nom et qualité : </w:t>
            </w:r>
            <w:sdt>
              <w:sdtPr>
                <w:rPr>
                  <w:rFonts w:ascii="Arial" w:hAnsi="Arial" w:eastAsia="Arial"/>
                  <w:color w:val="26313B"/>
                  <w:lang w:val="fr-FR" w:eastAsia="fr-FR" w:bidi="fr-FR"/>
                  <w:sz w:val="19"/>
                  <w:szCs w:val="19"/>
                </w:rPr>
                <w:alias w:val="Nom et qualité"/>
                <w:tag w:val="fk-modele-reglement-interieur-of-signature_direction_nom-4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Nom et qualité</w:t>
                </w:r>
              </w:sdtContent>
            </w:sdt>
          </w:p>
          <w:p>
            <w:r>
              <w:rPr>
                <w:rFonts w:ascii="Arial" w:hAnsi="Arial" w:eastAsia="Arial" w:cs="Arial"/>
                <w:b/>
                <w:lang w:val="fr-FR" w:eastAsia="fr-FR" w:bidi="fr-FR"/>
              </w:rPr>
              <w:t xml:space="preserve">Date : </w:t>
            </w:r>
            <w:sdt>
              <w:sdtPr>
                <w:rPr>
                  <w:rFonts w:ascii="Arial" w:hAnsi="Arial" w:eastAsia="Arial"/>
                  <w:color w:val="26313B"/>
                  <w:lang w:val="fr-FR" w:eastAsia="fr-FR" w:bidi="fr-FR"/>
                  <w:sz w:val="19"/>
                  <w:szCs w:val="19"/>
                </w:rPr>
                <w:alias w:val="Date"/>
                <w:tag w:val="fk-modele-reglement-interieur-of-signature_direction_date-4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w:t>
                </w:r>
              </w:sdtContent>
            </w:sdt>
          </w:p>
          <w:p>
            <w:r>
              <w:rPr>
                <w:rFonts w:ascii="Arial" w:hAnsi="Arial" w:eastAsia="Arial" w:cs="Arial"/>
                <w:b/>
                <w:lang w:val="fr-FR" w:eastAsia="fr-FR" w:bidi="fr-FR"/>
              </w:rPr>
              <w:t xml:space="preserve">Lieu : </w:t>
            </w:r>
            <w:sdt>
              <w:sdtPr>
                <w:rPr>
                  <w:rFonts w:ascii="Arial" w:hAnsi="Arial" w:eastAsia="Arial"/>
                  <w:color w:val="26313B"/>
                  <w:lang w:val="fr-FR" w:eastAsia="fr-FR" w:bidi="fr-FR"/>
                  <w:sz w:val="19"/>
                  <w:szCs w:val="19"/>
                </w:rPr>
                <w:alias w:val="Lieu"/>
                <w:tag w:val="fk-modele-reglement-interieur-of-signature_direction_lieu-4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Lieu</w:t>
                </w:r>
              </w:sdtContent>
            </w:sdt>
          </w:p>
          <w:p>
            <w:pPr>
              <w:spacing w:before="160" w:after="240"/>
            </w:pPr>
            <w:r>
              <w:rPr>
                <w:rFonts w:ascii="Arial" w:hAnsi="Arial" w:eastAsia="Arial" w:cs="Arial"/>
                <w:i/>
                <w:color w:val="66717D"/>
                <w:sz w:val="16"/>
                <w:lang w:val="fr-FR" w:eastAsia="fr-FR" w:bidi="fr-FR"/>
              </w:rPr>
              <w:br/>
              <w:br/>
              <w:t>Signature / cachet</w:t>
            </w:r>
          </w:p>
        </w:tc>
      </w:tr>
    </w:tbl>
    <w:p>
      <w:pPr>
        <w:spacing w:after="0"/>
      </w:pPr>
    </w:p>
    <w:p>
      <w:pPr>
        <w:pStyle w:val="Heading1"/>
        <w:keepNext/>
      </w:pPr>
      <w:r>
        <w:t>Sources et gouvernance</w:t>
      </w:r>
    </w:p>
    <w:p>
      <w:r>
        <w:rPr>
          <w:rFonts w:ascii="Arial" w:hAnsi="Arial" w:eastAsia="Arial" w:cs="Arial"/>
          <w:i w:val="0"/>
          <w:lang w:val="fr-FR" w:eastAsia="fr-FR" w:bidi="fr-FR"/>
        </w:rPr>
        <w:t>Sources consultées pour structurer cette trame. Vérifier leur version en vigueur lors de chaque revue.</w:t>
      </w:r>
    </w:p>
    <w:p>
      <w:pPr>
        <w:pStyle w:val="ListBullet"/>
      </w:pPr>
      <w:r>
        <w:rPr>
          <w:rFonts w:ascii="Arial" w:hAnsi="Arial" w:eastAsia="Arial" w:cs="Arial"/>
          <w:b/>
          <w:color w:val="26313B"/>
          <w:sz w:val="16"/>
          <w:lang w:val="fr-FR" w:eastAsia="fr-FR" w:bidi="fr-FR"/>
        </w:rPr>
        <w:t xml:space="preserve">Code du travail, articles L. 6352-3 à L. 6352-5 et R. 6352-1 à R. 6352-15, dont L. 6352-4 rétabli au 27 juin 2026 — </w:t>
      </w:r>
      <w:hyperlink r:id="rId13">
        <w:r>
          <w:rPr>
            <w:color w:val="1E6F6D"/>
            <w:u w:val="single"/>
          </w:rPr>
          <w:t>Légifrance</w:t>
        </w:r>
      </w:hyperlink>
      <w:r>
        <w:rPr>
          <w:rFonts w:ascii="Arial" w:hAnsi="Arial" w:eastAsia="Arial" w:cs="Arial"/>
          <w:color w:val="66717D"/>
          <w:sz w:val="16"/>
          <w:lang w:val="fr-FR" w:eastAsia="fr-FR" w:bidi="fr-FR"/>
        </w:rPr>
        <w:t>. Établissement dans les trois mois suivant le début de l’activité, règles disciplinaires et, pour les organismes sollicitant les financeurs de L. 6316-1, égalité de traitement, libertés et neutralité des enseignements.</w:t>
      </w:r>
    </w:p>
    <w:p>
      <w:pPr>
        <w:pStyle w:val="ListBullet"/>
      </w:pPr>
      <w:r>
        <w:rPr>
          <w:rFonts w:ascii="Arial" w:hAnsi="Arial" w:eastAsia="Arial" w:cs="Arial"/>
          <w:b/>
          <w:color w:val="26313B"/>
          <w:sz w:val="16"/>
          <w:lang w:val="fr-FR" w:eastAsia="fr-FR" w:bidi="fr-FR"/>
        </w:rPr>
        <w:t xml:space="preserve">Code du travail, article L. 6353-8 — </w:t>
      </w:r>
      <w:hyperlink r:id="rId14">
        <w:r>
          <w:rPr>
            <w:color w:val="1E6F6D"/>
            <w:u w:val="single"/>
          </w:rPr>
          <w:t>Légifrance</w:t>
        </w:r>
      </w:hyperlink>
      <w:r>
        <w:rPr>
          <w:rFonts w:ascii="Arial" w:hAnsi="Arial" w:eastAsia="Arial" w:cs="Arial"/>
          <w:color w:val="66717D"/>
          <w:sz w:val="16"/>
          <w:lang w:val="fr-FR" w:eastAsia="fr-FR" w:bidi="fr-FR"/>
        </w:rPr>
        <w:t>. Informations remises avant l’inscription définitive et tout règlement de frais.</w:t>
      </w:r>
    </w:p>
    <w:tbl>
      <w:tblPr>
        <w:tblW w:type="dxa" w:w="9922"/>
        <w:jc w:val="center"/>
        <w:tblLayout w:type="fixed"/>
        <w:tblLook w:firstColumn="1" w:firstRow="1" w:lastColumn="0" w:lastRow="0" w:noHBand="0" w:noVBand="1" w:val="04A0"/>
        <w:tblCaption w:val="Gouvernance documentaire"/>
        <w:tblDescription w:val="Responsabilités et dates de validation interne."/>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Responsable de validation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sponsable de validation"/>
                <w:tag w:val="fk-modele-reglement-interieur-of-responsable_validation-4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Responsable de validation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 de validation interne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 de validation interne"/>
                <w:tag w:val="fk-modele-reglement-interieur-of-date_validation_interne-4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 de validation interne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Prochaine revue interne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ochaine revue interne"/>
                <w:tag w:val="fk-modele-reglement-interieur-of-prochaine_revue_interne-4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Prochaine revue interne</w:t>
                </w:r>
              </w:sdtContent>
            </w:sdt>
          </w:p>
          <w:p>
            <w:r>
              <w:rPr>
                <w:rFonts w:ascii="Arial" w:hAnsi="Arial" w:eastAsia="Arial" w:cs="Arial"/>
                <w:i/>
                <w:color w:val="66717D"/>
                <w:sz w:val="14"/>
                <w:lang w:val="fr-FR" w:eastAsia="fr-FR" w:bidi="fr-FR"/>
              </w:rPr>
              <w:t>Revoir aussi après évolution légale, contractuelle ou opérationnelle.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Référence du document remplacé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éférence du document remplacé"/>
                <w:tag w:val="fk-modele-reglement-interieur-of-reference_document_remplace-4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Référence du document remplacé</w:t>
                </w:r>
              </w:sdtContent>
            </w:sdt>
          </w:p>
          <w:p>
            <w:r>
              <w:rPr>
                <w:rFonts w:ascii="Arial" w:hAnsi="Arial" w:eastAsia="Arial" w:cs="Arial"/>
                <w:i/>
                <w:color w:val="66717D"/>
                <w:sz w:val="14"/>
                <w:lang w:val="fr-FR" w:eastAsia="fr-FR" w:bidi="fr-FR"/>
              </w:rPr>
              <w:t>Laisser vide lors de la première mise en service.</w:t>
            </w:r>
          </w:p>
        </w:tc>
      </w:tr>
    </w:tbl>
    <w:p>
      <w:pPr>
        <w:spacing w:after="0"/>
      </w:pPr>
    </w:p>
    <w:sectPr w:rsidR="00FC693F" w:rsidRPr="0006063C" w:rsidSect="00034616">
      <w:headerReference w:type="default" r:id="rId9"/>
      <w:headerReference w:type="first" r:id="rId10"/>
      <w:footerReference w:type="default" r:id="rId11"/>
      <w:footerReference w:type="first" r:id="rId12"/>
      <w:pgSz w:w="11906" w:h="16838"/>
      <w:pgMar w:top="879" w:right="992" w:bottom="879" w:left="992" w:header="369" w:footer="36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FormaKit · Version 2.0.0 · rose.yemeli@yso-conseils.com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Règlement intérieur</w:t>
          </w:r>
        </w:p>
      </w:tc>
    </w:tr>
  </w:tbl>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eastAsia="Arial" w:cs="Arial"/>
      <w:color w:val="26313B"/>
      <w:sz w:val="19"/>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Arial" w:hAnsi="Arial" w:eastAsia="Arial" w:cs="Arial"/>
      <w:b/>
      <w:bCs/>
      <w:color w:val="17304F"/>
      <w:sz w:val="34"/>
      <w:szCs w:val="28"/>
      <w:lang w:val="fr-FR" w:eastAsia="fr-FR" w:bidi="fr-FR"/>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Arial" w:hAnsi="Arial" w:eastAsia="Arial" w:cs="Arial"/>
      <w:b/>
      <w:bCs/>
      <w:color w:val="1E6F6D"/>
      <w:sz w:val="26"/>
      <w:szCs w:val="26"/>
      <w:lang w:val="fr-FR" w:eastAsia="fr-FR" w:bidi="fr-FR"/>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Arial" w:hAnsi="Arial" w:eastAsia="Arial" w:cs="Arial"/>
      <w:b/>
      <w:bCs/>
      <w:color w:val="C4513C"/>
      <w:sz w:val="21"/>
      <w:lang w:val="fr-FR" w:eastAsia="fr-FR" w:bidi="fr-FR"/>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80" w:line="240" w:lineRule="auto"/>
      <w:contextualSpacing/>
    </w:pPr>
    <w:rPr>
      <w:rFonts w:ascii="Arial" w:hAnsi="Arial" w:eastAsia="Arial" w:cs="Arial"/>
      <w:b/>
      <w:color w:val="17304F"/>
      <w:spacing w:val="5"/>
      <w:kern w:val="28"/>
      <w:sz w:val="54"/>
      <w:szCs w:val="52"/>
      <w:lang w:val="fr-FR" w:eastAsia="fr-FR" w:bidi="fr-FR"/>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60"/>
    </w:pPr>
    <w:rPr>
      <w:rFonts w:ascii="Arial" w:hAnsi="Arial" w:eastAsia="Arial" w:cs="Arial"/>
      <w:i/>
      <w:iCs/>
      <w:color w:val="1E6F6D"/>
      <w:spacing w:val="15"/>
      <w:sz w:val="24"/>
      <w:szCs w:val="24"/>
      <w:lang w:val="fr-FR" w:eastAsia="fr-FR" w:bidi="fr-FR"/>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cs="Arial"/>
      <w:lang w:val="fr-FR" w:eastAsia="fr-FR" w:bidi="fr-FR"/>
    </w:rPr>
  </w:style>
  <w:style w:type="paragraph" w:styleId="ListBullet2">
    <w:name w:val="List Bullet 2"/>
    <w:basedOn w:val="Normal"/>
    <w:uiPriority w:val="99"/>
    <w:unhideWhenUsed/>
    <w:rsid w:val="00326F90"/>
    <w:pPr>
      <w:numPr>
        <w:numId w:val="2"/>
      </w:numPr>
      <w:contextualSpacing/>
    </w:pPr>
    <w:rPr>
      <w:rFonts w:ascii="Arial" w:hAnsi="Arial" w:eastAsia="Arial" w:cs="Arial"/>
      <w:lang w:val="fr-FR" w:eastAsia="fr-FR" w:bidi="fr-FR"/>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cs="Arial"/>
      <w:lang w:val="fr-FR" w:eastAsia="fr-FR" w:bidi="fr-FR"/>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s://www.legifrance.gouv.fr/codes/section_lc/LEGITEXT000006072050/LEGISCTA000018498940/" TargetMode="External"/><Relationship Id="rId14" Type="http://schemas.openxmlformats.org/officeDocument/2006/relationships/hyperlink" Target="https://www.legifrance.gouv.fr/codes/article_lc/LEGIARTI000037386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 d’un organisme de formation</dc:title>
  <dc:subject>Modèle documentaire éditable pour organisme de formation</dc:subject>
  <dc:creator>FormaKit</dc:creator>
  <cp:keywords>FormaKit, organisme de formation, DOCX, version 2.0.0</cp:keywords>
  <dc:description>Personnalisation et validation humaine requises avant usage.</dc:description>
  <cp:lastModifiedBy/>
  <cp:revision>1</cp:revision>
  <dcterms:created xsi:type="dcterms:W3CDTF">2026-07-16T00:00:00Z</dcterms:created>
  <dcterms:modified xsi:type="dcterms:W3CDTF">2026-07-16T00:00:00Z</dcterms:modified>
  <cp:category/>
  <dc:language>fr-FR</dc:language>
</cp:coreProperties>
</file>